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договоре залога права наряду с условиями, предусмотренными статьей 339 настоящего Кодекса, должны быть указаны обязательство, из которого вытекает закладываемое право, сведения о должнике залогодателя и сторона договора залога, у которой находятся подлинники документов, удостоверяющих закладываемое право.</w:t>
      </w:r>
    </w:p>
    <w:p>
      <w:pPr>
        <w:spacing w:after="120"/>
        <w:ind w:firstLine="709"/>
      </w:pPr>
      <w:r>
        <w:rPr>
          <w:sz w:val="24"/>
        </w:rPr>
        <w:t xml:space="preserve">В случае, если предметом залога является принадлежащее залогодателю право требовать уплаты денежной суммы, в договоре залога может быть указан размер этой суммы или порядок ее определения.</w:t>
      </w:r>
    </w:p>
    <w:p>
      <w:pPr>
        <w:spacing w:after="120"/>
        <w:ind w:firstLine="709"/>
      </w:pPr>
      <w:r>
        <w:rPr>
          <w:sz w:val="24"/>
        </w:rPr>
        <w:t xml:space="preserve">Если в договоре залога не указано, что подлинники документов, удостоверяющих закладываемое право, остаются у залогодателя или передаются нотариусу на хранение, залогодатель обязан передать такие подлинники в срок, указанный в договоре залога, или, если договором указанный срок не установлен, в разумный срок залогодержателю по его требованию, предъявленному в письменной форме. Соглашением между залогодателем и залогодержателем может быть предусмотрено, что документы передаются на хранение третьему лицу.</w:t>
      </w:r>
    </w:p>
    <w:p>
      <w:pPr>
        <w:spacing w:after="120"/>
        <w:ind w:firstLine="709"/>
      </w:pPr>
      <w:r>
        <w:rPr>
          <w:sz w:val="24"/>
        </w:rPr>
        <w:t xml:space="preserve">При залоге права, если иное не предусмотрено законом или договором, обязанности, предусмотренные статьей 343 настоящего Кодекса, возлагаются на сторону договора залога, у которой находятся подлинники документов, удостоверяющих заложенное право.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предметом залога является совокупность прав (требований) или будущее право ( пункты 2 и 4 статьи 358.1 ), сведения об обязательстве, из которого вытекает закладываемое право, и о должнике залогодателя могут быть указаны в договоре общим образом, то есть посредством данных, позволяющих индивидуализировать закладываемые права и определить лиц, которые являются или на момент обращения взыскания на предмет залога будут являться должниками по этим правам.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358.3</dc:title>
  <dc:creator>АРБИТРАЖ! · arbi.ru</dc:creator>
  <cp:lastModifiedBy>АРБИТРАЖ!</cp:lastModifiedBy>
  <dcterms:created xsi:type="dcterms:W3CDTF">2026-10-22T20:22:04.309Z</dcterms:created>
</cp:coreProperties>
</file>