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 права возникает с момента заключения договора залога, а при залоге будущего права с момента возникновения этого права.</w:t>
      </w:r>
    </w:p>
    <w:p>
      <w:pPr>
        <w:spacing w:after="120"/>
        <w:ind w:firstLine="709"/>
      </w:pPr>
      <w:r>
        <w:rPr>
          <w:sz w:val="24"/>
        </w:rPr>
        <w:t xml:space="preserve">2. Если залогом права обеспечено исполнение обязательства, которое возникнет в будущем, залог права возникает с момента возникновения этого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358.5</dc:title>
  <dc:creator>АРБИТРАЖ! · arbi.ru</dc:creator>
  <cp:lastModifiedBy>АРБИТРАЖ!</cp:lastModifiedBy>
  <dcterms:created xsi:type="dcterms:W3CDTF">2026-10-22T22:34:21.117Z</dcterms:created>
</cp:coreProperties>
</file>