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договором, в случае нарушения обязанностей, предусмотренных статьей 358.6 настоящего Кодекса, залогодержатель вправе требовать от залогодателя досрочного исполнения обеспеченного залогом обязательства, а при его неисполнении - обратить взыскание на предмет залога в установленном порядке.</w:t>
      </w:r>
    </w:p>
    <w:p>
      <w:pPr>
        <w:spacing w:after="120"/>
        <w:ind w:firstLine="709"/>
      </w:pPr>
      <w:r>
        <w:rPr>
          <w:sz w:val="24"/>
        </w:rPr>
        <w:t xml:space="preserve">2. Залогодержатель вправе принимать самостоятельно меры, необходимые для защиты заложенного права от нарушений со стороны третьих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358.7</dc:title>
  <dc:creator>АРБИТРАЖ! · arbi.ru</dc:creator>
  <cp:lastModifiedBy>АРБИТРАЖ!</cp:lastModifiedBy>
  <dcterms:created xsi:type="dcterms:W3CDTF">2026-10-22T23:39:28.721Z</dcterms:created>
</cp:coreProperties>
</file>