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ГК РФ, часть первая, ст. 358.8</w:t>
      </w:r>
    </w:p>
    <w:p>
      <w:pPr>
        <w:spacing w:after="120"/>
        <w:ind w:firstLine="709"/>
      </w:pPr>
      <w:r>
        <w:rPr>
          <w:sz w:val="24"/>
        </w:rPr>
        <w:t xml:space="preserve">Акт: Гражданский кодекс Российской Федерации (часть первая) № 51-ФЗ</w:t>
      </w:r>
    </w:p>
    <w:p>
      <w:pPr>
        <w:spacing w:after="120"/>
        <w:ind w:firstLine="709"/>
      </w:pPr>
      <w:r>
        <w:rPr>
          <w:sz w:val="24"/>
        </w:rPr>
        <w:t xml:space="preserve">Источник: https://www.consultant.ru/document/cons_doc_LAW_5142/</w:t>
      </w:r>
    </w:p>
    <w:p>
      <w:pPr>
        <w:spacing w:after="120"/>
        <w:ind w:firstLine="709"/>
      </w:pPr>
      <w:r>
        <w:rPr>
          <w:sz w:val="24"/>
        </w:rPr>
        <w:t xml:space="preserve">Раздел: Глава 22. Исполнение обязательств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(в ред. Федерального закона от 21.12.2013 N 367-ФЗ)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1. Реализация заложенного права осуществляется в порядке, установленном пунктом 1 статьи 350 и пунктом 1 статьи 350.1 настоящего Кодекса.</w:t>
      </w:r>
    </w:p>
    <w:p>
      <w:pPr>
        <w:spacing w:after="120"/>
        <w:ind w:firstLine="709"/>
      </w:pPr>
      <w:r>
        <w:rPr>
          <w:sz w:val="24"/>
        </w:rPr>
        <w:t xml:space="preserve">2. В случае обращения взыскания на заложенное право в судебном порядке стороны могут договориться о том, что его реализация осуществляется посредством перевода по требованию залогодержателя заложенного права на залогодержателя по решению суда.</w:t>
      </w:r>
    </w:p>
    <w:p>
      <w:pPr>
        <w:spacing w:after="120"/>
        <w:ind w:firstLine="709"/>
      </w:pPr>
      <w:r>
        <w:rPr>
          <w:sz w:val="24"/>
        </w:rPr>
        <w:t xml:space="preserve">3. Если взыскание на заложенное право обращается во внесудебном порядке, стороны могут договориться, что реализация заложенного права осуществляется посредством уступки заложенного права залогодателем залогодержателю или указанному залогодержателем третьему лицу. В случае отказа залогодателя уступить заложенное право залогодержатель или третье лицо вправе требовать перевода на себя этого права по решению суда или на основании исполнительной надписи нотариуса и возмещения убытков, причиненных в связи с отказом уступить это право.</w:t>
      </w:r>
    </w:p>
    <w:p>
      <w:pPr>
        <w:spacing w:after="120"/>
        <w:ind w:firstLine="709"/>
      </w:pPr>
      <w:r>
        <w:rPr>
          <w:sz w:val="24"/>
        </w:rPr>
        <w:t xml:space="preserve">4. С момента перехода заложенного права к залогодержателю или указанному им третьему лицу обязательство, исполнение которого обеспечено залогом этого права, прекращается в размере, эквивалентном стоимости (начальной продажной цене) заложенного права (пункт 7 статьи 349) .</w:t>
      </w:r>
    </w:p>
    <w:p>
      <w:pPr>
        <w:spacing w:after="120"/>
        <w:ind w:firstLine="709"/>
      </w:pPr>
      <w:r>
        <w:rPr>
          <w:sz w:val="24"/>
        </w:rPr>
        <w:t xml:space="preserve">Правила настоящего пункта применяются, если соглашением залогодателя с залогодержателем, а также с должником по обязательству, обеспеченному залогом права, когда залогодателем является третье лицо, не предусмотрено иное.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ГК РФ, часть первая, ст. 358.8</dc:title>
  <dc:creator>АРБИТРАЖ! · arbi.ru</dc:creator>
  <cp:lastModifiedBy>АРБИТРАЖ!</cp:lastModifiedBy>
  <dcterms:created xsi:type="dcterms:W3CDTF">2026-10-22T22:33:46.596Z</dcterms:created>
</cp:coreProperties>
</file>