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358.14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При обращении взыскания на заложенные права по договору банковского счета в соответствии со статьей 349 настоящего Кодекса в судебном или во внесудебном порядке требования залогодержателя удовлетворяются путем списания банком на основании распоряжения залогодержателя денежных средств с залогового счета залогодателя и выдачи их залогодержателю или зачисления их на счет, указанный залогодержателем (пункт 2 статьи 854) . Правила о реализации заложенного имущества, установленные статьями 350 - 350.2 настоящего Кодекса, в этих случаях не применяются.</w:t>
      </w:r>
    </w:p>
    <w:p>
      <w:pPr>
        <w:spacing w:after="120"/>
        <w:ind w:firstLine="709"/>
      </w:pPr>
      <w:r>
        <w:rPr>
          <w:sz w:val="24"/>
        </w:rPr>
        <w:t xml:space="preserve">2. Утратил силу с 1 июня 2018 года. - Федеральный закон от 26.07.2017 N 212-ФЗ.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358.14</dc:title>
  <dc:creator>АРБИТРАЖ! · arbi.ru</dc:creator>
  <cp:lastModifiedBy>АРБИТРАЖ!</cp:lastModifiedBy>
  <dcterms:created xsi:type="dcterms:W3CDTF">2026-10-22T22:00:33.639Z</dcterms:created>
</cp:coreProperties>
</file>