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Залог прав акционера осуществляется посредством залога принадлежащих акционеру акций этого общества, залог прав участника общества с ограниченной ответственностью - посредством залога принадлежащей ему доли в уставном капитале общества в соответствии с правилами, установленными настоящим Кодексом и законами о хозяйственных обществах.</w:t>
      </w:r>
    </w:p>
    <w:p>
      <w:pPr>
        <w:spacing w:after="120"/>
        <w:ind w:firstLine="709"/>
      </w:pPr>
      <w:r>
        <w:rPr>
          <w:sz w:val="24"/>
        </w:rPr>
        <w:t xml:space="preserve">Залог прав участников (учредителей) иных юридических лиц не допускается.</w:t>
      </w:r>
    </w:p>
    <w:p>
      <w:pPr>
        <w:spacing w:after="120"/>
        <w:ind w:firstLine="709"/>
      </w:pPr>
      <w:r>
        <w:rPr>
          <w:sz w:val="24"/>
        </w:rPr>
        <w:t xml:space="preserve">2. При залоге акций удостоверенные ими права осуществляет залогодатель (акционер), если иное не предусмотрено договором залога акций (статья 358.17) 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 залога доли в уставном капитале общества с ограниченной ответственностью, до момента прекращения залога права участника общества осуществляются залогодержателем.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358.15</dc:title>
  <dc:creator>АРБИТРАЖ! · arbi.ru</dc:creator>
  <cp:lastModifiedBy>АРБИТРАЖ!</cp:lastModifiedBy>
  <dcterms:created xsi:type="dcterms:W3CDTF">2026-10-22T22:36:26.820Z</dcterms:created>
</cp:coreProperties>
</file>