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358.18</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12.03.2014 N 35-ФЗ)</w:t>
      </w:r>
    </w:p>
    <w:p>
      <w:pPr>
        <w:spacing w:after="120"/>
        <w:ind w:firstLine="709"/>
      </w:pPr>
      <w:r>
        <w:rPr>
          <w:sz w:val="24"/>
        </w:rP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(пункт 1 статьи 1225) могут быть предметом залога в той мере, в какой правила настоящего Кодекса допускают их отчуждение.</w:t>
      </w:r>
    </w:p>
    <w:p>
      <w:pPr>
        <w:spacing w:after="120"/>
        <w:ind w:firstLine="709"/>
      </w:pPr>
      <w:r>
        <w:rPr>
          <w:sz w:val="24"/>
        </w:rPr>
        <w:t xml:space="preserve">2. Государственная регистрация залога исключительных прав осуществляется в соответствии с правилами раздела VII настоящего Кодекса.</w:t>
      </w:r>
    </w:p>
    <w:p>
      <w:pPr>
        <w:spacing w:after="120"/>
        <w:ind w:firstLine="709"/>
      </w:pPr>
      <w:r>
        <w:rPr>
          <w:sz w:val="24"/>
        </w:rPr>
        <w:t xml:space="preserve">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 статьи 334 - 356 ),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 статьи 358.1 - 358.8 ), поскольку иное не установлено настоящим Кодексом и не вытекает из содержания или характера соответствующих прав.</w:t>
      </w:r>
    </w:p>
    <w:p>
      <w:pPr>
        <w:spacing w:after="120"/>
        <w:ind w:firstLine="709"/>
      </w:pPr>
      <w:r>
        <w:rPr>
          <w:sz w:val="24"/>
        </w:rPr>
        <w:t xml:space="preserve">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p>
      <w:pPr>
        <w:spacing w:after="120"/>
        <w:ind w:firstLine="709"/>
      </w:pPr>
      <w:r>
        <w:rPr>
          <w:sz w:val="24"/>
        </w:rPr>
        <w:t xml:space="preserve">§ 4. Удержание вещи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358.18</dc:title>
  <dc:creator>АРБИТРАЖ! · arbi.ru</dc:creator>
  <cp:lastModifiedBy>АРБИТРАЖ!</cp:lastModifiedBy>
  <dcterms:created xsi:type="dcterms:W3CDTF">2026-10-22T22:05:37.760Z</dcterms:created>
</cp:coreProperties>
</file>