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359 ГК РФ &gt;&gt;&gt;</w:t>
      </w:r>
    </w:p>
    <w:p>
      <w:pPr>
        <w:spacing w:after="120"/>
        <w:ind w:firstLine="709"/>
      </w:pPr>
      <w:r>
        <w:rPr>
          <w:sz w:val="24"/>
        </w:rPr>
        <w:t xml:space="preserve">1. Кредитор, у которого находится вещь, подлежащая передаче должнику либо лицу, указанному должником,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пор, пока соответствующее обязательство не будет исполнено.</w:t>
      </w:r>
    </w:p>
    <w:p>
      <w:pPr>
        <w:spacing w:after="120"/>
        <w:ind w:firstLine="709"/>
      </w:pPr>
      <w:r>
        <w:rPr>
          <w:sz w:val="24"/>
        </w:rPr>
        <w:t xml:space="preserve">Удержанием вещи могут обеспечиваться также требования хотя и не связанные с оплатой вещи или возмещением издержек на нее и других убытков, но возникшие из обязательства, стороны которого действуют как предприниматели.</w:t>
      </w:r>
    </w:p>
    <w:p>
      <w:pPr>
        <w:spacing w:after="120"/>
        <w:ind w:firstLine="709"/>
      </w:pPr>
      <w:r>
        <w:rPr>
          <w:sz w:val="24"/>
        </w:rPr>
        <w:t xml:space="preserve">2. Кредитор может удерживать находящуюся у него вещь, несмотря на то, что после того, как эта вещь поступила во владение кредитора, права на нее приобретены третьим лицом.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статьи применяются, если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359</dc:title>
  <dc:creator>АРБИТРАЖ! · arbi.ru</dc:creator>
  <cp:lastModifiedBy>АРБИТРАЖ!</cp:lastModifiedBy>
  <dcterms:created xsi:type="dcterms:W3CDTF">2026-10-23T00:00:25.644Z</dcterms:created>
</cp:coreProperties>
</file>