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361 ГК РФ &gt;&gt;&gt;</w:t>
      </w:r>
    </w:p>
    <w:p>
      <w:pPr>
        <w:spacing w:after="120"/>
        <w:ind w:firstLine="709"/>
      </w:pPr>
      <w:r>
        <w:rPr>
          <w:sz w:val="24"/>
        </w:rPr>
        <w:t xml:space="preserve">1.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части. Договор поручительства может быть заключен в обеспечение как денежных, так и неденежных обязательств, а также в обеспечение обязательства, которое возникнет в будущем .</w:t>
      </w:r>
    </w:p>
    <w:p>
      <w:pPr>
        <w:spacing w:after="120"/>
        <w:ind w:firstLine="709"/>
      </w:pPr>
      <w:r>
        <w:rPr>
          <w:sz w:val="24"/>
        </w:rPr>
        <w:t xml:space="preserve">2. Поручительство может возникать на основании закона при наступлении указанных в нем обстоятельств. Правила настоящего Кодекса о поручительстве в силу договора применяются к поручительству, возникающему на основании закона, если законом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3. Условия поручительства, относящиеся к основному обязательству, считаются согласованными, если в договоре поручительства имеется отсылка к договору, из которого возникло или возникнет в будущем обеспечиваемое обязательство. В договоре поручительства, поручителем по которому является лицо, осуществляющее предпринимательскую деятельность, может быть указано, что поручительство обеспечивает все существующие и (или) будущие обязательства должника перед кредитором в пределах определенной суммы.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361</dc:title>
  <dc:creator>АРБИТРАЖ! · arbi.ru</dc:creator>
  <cp:lastModifiedBy>АРБИТРАЖ!</cp:lastModifiedBy>
  <dcterms:created xsi:type="dcterms:W3CDTF">2026-10-22T23:40:16.910Z</dcterms:created>
</cp:coreProperties>
</file>