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374 ГК РФ</w:t>
      </w:r>
    </w:p>
    <w:p>
      <w:pPr>
        <w:spacing w:after="120"/>
        <w:ind w:firstLine="709"/>
      </w:pPr>
      <w:r>
        <w:rPr>
          <w:sz w:val="24"/>
        </w:rPr>
        <w:t xml:space="preserve">- Бенефициар хочет взыскать с гаранта деньги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1.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документов. В требовании или в приложении к нему бенефициар должен указать обстоятельства, наступление которых влечет выплату по независимой гарантии.</w:t>
      </w:r>
    </w:p>
    <w:p>
      <w:pPr>
        <w:spacing w:after="120"/>
        <w:ind w:firstLine="709"/>
      </w:pPr>
      <w:r>
        <w:rPr>
          <w:sz w:val="24"/>
        </w:rPr>
        <w:t xml:space="preserve">2. Требование бенефициара должно быть представлено гаранту до окончания срока действия независимой гарантии.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374</dc:title>
  <dc:creator>АРБИТРАЖ! · arbi.ru</dc:creator>
  <cp:lastModifiedBy>АРБИТРАЖ!</cp:lastModifiedBy>
  <dcterms:created xsi:type="dcterms:W3CDTF">2026-10-22T22:27:04.320Z</dcterms:created>
</cp:coreProperties>
</file>