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380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380 ГК РФ &gt;&gt;&gt;</w:t>
      </w:r>
    </w:p>
    <w:p>
      <w:pPr>
        <w:spacing w:after="120"/>
        <w:ind w:firstLine="709"/>
      </w:pPr>
      <w:r>
        <w:rPr>
          <w:sz w:val="24"/>
        </w:rPr>
        <w:t xml:space="preserve">1. Задатком признается денежная сумма, выдаваемая одной из договаривающихся сторон в счет причитающихся с нее по договору платежей другой стороне, в доказательство заключения договора и в обеспечение его исполнения.</w:t>
      </w:r>
    </w:p>
    <w:p>
      <w:pPr>
        <w:spacing w:after="120"/>
        <w:ind w:firstLine="709"/>
      </w:pPr>
      <w:r>
        <w:rPr>
          <w:sz w:val="24"/>
        </w:rPr>
        <w:t xml:space="preserve">2. Соглашение о задатке независимо от суммы задатка должно быть совершено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3. В случае сомнения в отношении того, является ли сумма, уплаченная в счет причитающихся со стороны по договору платежей, задатком, в частности вследствие несоблюдения правила, установленного пунктом 2 настоящей статьи, эта сумма считается уплаченной в качестве аванса, если не доказано иное.</w:t>
      </w:r>
    </w:p>
    <w:p>
      <w:pPr>
        <w:spacing w:after="120"/>
        <w:ind w:firstLine="709"/>
      </w:pPr>
      <w:r>
        <w:rPr>
          <w:sz w:val="24"/>
        </w:rPr>
        <w:t xml:space="preserve">4. Если иное не установлено законом, по соглашению сторон задатком может быть обеспечено исполнение обязательства по заключению основного договора на условиях, предусмотренных предварительным договором (статья 429) 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380</dc:title>
  <dc:creator>АРБИТРАЖ! · arbi.ru</dc:creator>
  <cp:lastModifiedBy>АРБИТРАЖ!</cp:lastModifiedBy>
  <dcterms:created xsi:type="dcterms:W3CDTF">2026-10-22T19:06:47.081Z</dcterms:created>
</cp:coreProperties>
</file>