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381.2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Правила об обеспечительном платеже (статья 381.1) применяются также в случаях, если в счет обеспечения вносятся подлежащие передаче по обеспечиваемому обязательству акции, облигации, иные ценные бумаги или вещи, определенные родовыми признаками. Если в счет обеспечения исполнения обязательств вносятся ценные бумаги, особенности обеспечительного платежа могут быть установлены законами о ценных бумагах.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/>
    <w:p>
      <w:pPr>
        <w:spacing w:after="120"/>
        <w:ind w:firstLine="709"/>
      </w:pPr>
      <w:r>
        <w:rPr>
          <w:sz w:val="24"/>
        </w:rPr>
        <w:t xml:space="preserve">§ 1. Переход прав кредитора к другому лицу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381.2</dc:title>
  <dc:creator>АРБИТРАЖ! · arbi.ru</dc:creator>
  <cp:lastModifiedBy>АРБИТРАЖ!</cp:lastModifiedBy>
  <dcterms:created xsi:type="dcterms:W3CDTF">2026-10-23T00:21:30.593Z</dcterms:created>
</cp:coreProperties>
</file>