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385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Цедент хочет взыскать с цессионария задолженность по договору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Уведомление должника о переходе права имеет для него силу независимо от того, первоначальным или новым кредитором оно направлено.</w:t>
      </w:r>
    </w:p>
    <w:p>
      <w:pPr>
        <w:spacing w:after="120"/>
        <w:ind w:firstLine="709"/>
      </w:pPr>
      <w:r>
        <w:rPr>
          <w:sz w:val="24"/>
        </w:rPr>
        <w:t xml:space="preserve">Должник вправе не исполнять обязательство новому кредитору до предоставления ему доказательств перехода права к этому кредитору, за исключением случаев, если уведомление о переходе права получено от первоначального кредитора.</w:t>
      </w:r>
    </w:p>
    <w:p>
      <w:pPr>
        <w:spacing w:after="120"/>
        <w:ind w:firstLine="709"/>
      </w:pPr>
      <w:r>
        <w:rPr>
          <w:sz w:val="24"/>
        </w:rPr>
        <w:t xml:space="preserve">2. Если должник получил уведомление об одном или о нескольких последующих переходах права,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права.</w:t>
      </w:r>
    </w:p>
    <w:p>
      <w:pPr>
        <w:spacing w:after="120"/>
        <w:ind w:firstLine="709"/>
      </w:pPr>
      <w:r>
        <w:rPr>
          <w:sz w:val="24"/>
        </w:rPr>
        <w:t xml:space="preserve">3. Кредитор, уступивший требование другому лицу, обязан передать ему документы, удостоверяющие право (требование), и сообщить сведения, имеющие значение для осуществления этого права (требования).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385</dc:title>
  <dc:creator>АРБИТРАЖ! · arbi.ru</dc:creator>
  <cp:lastModifiedBy>АРБИТРАЖ!</cp:lastModifiedBy>
  <dcterms:created xsi:type="dcterms:W3CDTF">2026-10-22T13:04:10.119Z</dcterms:created>
</cp:coreProperties>
</file>