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386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386 ГК РФ</w:t>
      </w:r>
    </w:p>
    <w:p>
      <w:pPr>
        <w:spacing w:after="120"/>
        <w:ind w:firstLine="709"/>
      </w:pPr>
      <w:r>
        <w:rPr>
          <w:sz w:val="24"/>
        </w:rPr>
        <w:t xml:space="preserve">- Цессионарий хочет на основании договора уступки права (требования) взыскать с должника задолженность</w:t>
      </w:r>
    </w:p>
    <w:p>
      <w:pPr>
        <w:spacing w:after="120"/>
        <w:ind w:firstLine="709"/>
      </w:pPr>
      <w:r>
        <w:rPr>
          <w:sz w:val="24"/>
        </w:rPr>
        <w:t xml:space="preserve">Должник вправе выдвигать против требования нового кредитора возражения, которые он имел против первоначального кредитора, если основания для таких возражений возникли к моменту получения уведомления о переходе прав по обязательству к новому кредитору. Должник в разумный срок после получения указанного уведомления обязан сообщить новому кредитору о возникновении известных ему оснований для возражений и предоставить ему возможность ознакомления с ними. В противном случае должник не вправе ссылаться на такие основания.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386</dc:title>
  <dc:creator>АРБИТРАЖ! · arbi.ru</dc:creator>
  <cp:lastModifiedBy>АРБИТРАЖ!</cp:lastModifiedBy>
  <dcterms:created xsi:type="dcterms:W3CDTF">2026-10-23T00:44:24.945Z</dcterms:created>
</cp:coreProperties>
</file>