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387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387 ГК РФ</w:t>
      </w:r>
    </w:p>
    <w:p>
      <w:pPr>
        <w:spacing w:after="120"/>
        <w:ind w:firstLine="709"/>
      </w:pPr>
      <w:r>
        <w:rPr>
          <w:sz w:val="24"/>
        </w:rPr>
        <w:t xml:space="preserve">- Поручитель хочет взыскать с должника сумму уплаченного долга в порядке регресса</w:t>
      </w:r>
    </w:p>
    <w:p>
      <w:pPr>
        <w:spacing w:after="120"/>
        <w:ind w:firstLine="709"/>
      </w:pPr>
      <w:r>
        <w:rPr>
          <w:sz w:val="24"/>
        </w:rPr>
        <w:t xml:space="preserve">1. Права кредитора по обязательству переходят к другому лицу на основании закона при наступлении указанных в нем обстоятельств:</w:t>
      </w:r>
    </w:p>
    <w:p>
      <w:pPr>
        <w:spacing w:after="120"/>
        <w:ind w:firstLine="709"/>
      </w:pPr>
      <w:r>
        <w:rPr>
          <w:sz w:val="24"/>
        </w:rPr>
        <w:t xml:space="preserve">1) в результате универсального правопреемства в правах кредитора;</w:t>
      </w:r>
    </w:p>
    <w:p>
      <w:pPr>
        <w:spacing w:after="120"/>
        <w:ind w:firstLine="709"/>
      </w:pPr>
      <w:r>
        <w:rPr>
          <w:sz w:val="24"/>
        </w:rPr>
        <w:t xml:space="preserve">2) по решению суда о переводе прав кредитора на другое лицо, если возможность такого перевода предусмотрена законом;</w:t>
      </w:r>
    </w:p>
    <w:p>
      <w:pPr>
        <w:spacing w:after="120"/>
        <w:ind w:firstLine="709"/>
      </w:pPr>
      <w:r>
        <w:rPr>
          <w:sz w:val="24"/>
        </w:rPr>
        <w:t xml:space="preserve">3) вследствие исполнения обязательства поручителем должника или не являющимся должником по этому обязательству залогодателем;</w:t>
      </w:r>
    </w:p>
    <w:p>
      <w:pPr>
        <w:spacing w:after="120"/>
        <w:ind w:firstLine="709"/>
      </w:pPr>
      <w:r>
        <w:rPr>
          <w:sz w:val="24"/>
        </w:rPr>
        <w:t xml:space="preserve">4) при суброгации страховщику прав кредитора к должнику, ответственному за наступление страхового случая;</w:t>
      </w:r>
    </w:p>
    <w:p>
      <w:pPr>
        <w:spacing w:after="120"/>
        <w:ind w:firstLine="709"/>
      </w:pPr>
      <w:r>
        <w:rPr>
          <w:sz w:val="24"/>
        </w:rPr>
        <w:t xml:space="preserve">5) в других случаях, предусмотренных законом.</w:t>
      </w:r>
    </w:p>
    <w:p>
      <w:pPr>
        <w:spacing w:after="120"/>
        <w:ind w:firstLine="709"/>
      </w:pPr>
      <w:r>
        <w:rPr>
          <w:sz w:val="24"/>
        </w:rPr>
        <w:t xml:space="preserve">2. К отношениям, связанным с переходом прав на основании закона, применяются правила настоящего Кодекса об уступке требования ( статьи 388 - 390 ), если иное не установлено настоящим Кодексом, другими законами или не вытекает из существа отношений.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387</dc:title>
  <dc:creator>АРБИТРАЖ! · arbi.ru</dc:creator>
  <cp:lastModifiedBy>АРБИТРАЖ!</cp:lastModifiedBy>
  <dcterms:created xsi:type="dcterms:W3CDTF">2026-10-22T22:34:55.975Z</dcterms:created>
</cp:coreProperties>
</file>