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389 ГК РФ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незаключенным</w:t>
      </w:r>
    </w:p>
    <w:p>
      <w:pPr>
        <w:spacing w:after="120"/>
        <w:ind w:firstLine="709"/>
      </w:pPr>
      <w:r>
        <w:rPr>
          <w:sz w:val="24"/>
        </w:rPr>
        <w:t xml:space="preserve">1. Уступка требования, основанного на сделке, совершенной в простой письменной или нотариальной форме, должна быть совершена в соответствующей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Соглашение об уступке требования по сделке, требующей государственной регистрации, должно быть зарегистрировано в порядке, установленном для регистрации этой сделки,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389</dc:title>
  <dc:creator>АРБИТРАЖ! · arbi.ru</dc:creator>
  <cp:lastModifiedBy>АРБИТРАЖ!</cp:lastModifiedBy>
  <dcterms:created xsi:type="dcterms:W3CDTF">2026-10-22T20:18:55.358Z</dcterms:created>
</cp:coreProperties>
</file>