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392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392 ГК РФ</w:t>
      </w:r>
    </w:p>
    <w:p>
      <w:pPr>
        <w:spacing w:after="120"/>
        <w:ind w:firstLine="709"/>
      </w:pPr>
      <w:r>
        <w:rPr>
          <w:sz w:val="24"/>
        </w:rPr>
        <w:t xml:space="preserve">- Новый должник хочет признать договор о переводе долга незаключенным</w:t>
      </w:r>
    </w:p>
    <w:p>
      <w:pPr>
        <w:spacing w:after="120"/>
        <w:ind w:firstLine="709"/>
      </w:pPr>
      <w:r>
        <w:rPr>
          <w:sz w:val="24"/>
        </w:rPr>
        <w:t xml:space="preserve">Новый должник вправе выдвигать против требования кредитора возражения , основанные на отношениях между кредитором и первоначальным должником, но не вправе осуществлять в отношении кредитора право на зачет встречного требования, принадлежащего первоначальному должнику.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392</dc:title>
  <dc:creator>АРБИТРАЖ! · arbi.ru</dc:creator>
  <cp:lastModifiedBy>АРБИТРАЖ!</cp:lastModifiedBy>
  <dcterms:created xsi:type="dcterms:W3CDTF">2026-10-22T20:18:22.989Z</dcterms:created>
</cp:coreProperties>
</file>