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392.1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21.12.2013 N 367-ФЗ)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392.1 ГК РФ</w:t>
      </w:r>
    </w:p>
    <w:p>
      <w:pPr>
        <w:spacing w:after="120"/>
        <w:ind w:firstLine="709"/>
      </w:pPr>
      <w:r>
        <w:rPr>
          <w:sz w:val="24"/>
        </w:rPr>
        <w:t xml:space="preserve">- Кредитор хочет взыскать задолженность по договору, в отношении которого заключено соглашение о переводе долга</w:t>
      </w:r>
    </w:p>
    <w:p>
      <w:pPr>
        <w:spacing w:after="120"/>
        <w:ind w:firstLine="709"/>
      </w:pPr>
      <w:r>
        <w:rPr>
          <w:sz w:val="24"/>
        </w:rPr>
        <w:t xml:space="preserve">1. Кредитор может осуществлять в отношении нового должника все права по обязательству, если иное не предусмотрено законом, договором или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2. Если при переводе долга первоначальный должник освобожден от обязательства, обеспечение исполнения обязательства, предоставленное третьим лицом, прекращается, за исключением случая, когда такое лицо согласилось отвечать за нового должника.</w:t>
      </w:r>
    </w:p>
    <w:p>
      <w:pPr>
        <w:spacing w:after="120"/>
        <w:ind w:firstLine="709"/>
      </w:pPr>
      <w:r>
        <w:rPr>
          <w:sz w:val="24"/>
        </w:rPr>
        <w:t xml:space="preserve">3. Освобождение первоначального должника от обязательства распространяется на всякое предоставленное им обеспечение, если только имущество, являющееся предметом обеспечения, не передано им новому должнику.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392.1</dc:title>
  <dc:creator>АРБИТРАЖ! · arbi.ru</dc:creator>
  <cp:lastModifiedBy>АРБИТРАЖ!</cp:lastModifiedBy>
  <dcterms:created xsi:type="dcterms:W3CDTF">2026-10-22T20:18:05.324Z</dcterms:created>
</cp:coreProperties>
</file>