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392.2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21.12.2013 N 367-ФЗ)</w:t>
      </w:r>
    </w:p>
    <w:p>
      <w:pPr>
        <w:spacing w:after="120"/>
        <w:ind w:firstLine="709"/>
      </w:pPr>
      <w:r>
        <w:rPr>
          <w:sz w:val="24"/>
        </w:rPr>
        <w:t xml:space="preserve">1. Долг может перейти с должника на другое лицо по основаниям, предусмотренным законом .</w:t>
      </w:r>
    </w:p>
    <w:p>
      <w:pPr>
        <w:spacing w:after="120"/>
        <w:ind w:firstLine="709"/>
      </w:pPr>
      <w:r>
        <w:rPr>
          <w:sz w:val="24"/>
        </w:rPr>
        <w:t xml:space="preserve">2. Для перехода долга в силу закона не требуется согласие кредитора, если иное не установлено законом или не вытекает из существа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392.2</dc:title>
  <dc:creator>АРБИТРАЖ! · arbi.ru</dc:creator>
  <cp:lastModifiedBy>АРБИТРАЖ!</cp:lastModifiedBy>
  <dcterms:created xsi:type="dcterms:W3CDTF">2026-10-22T20:19:18.875Z</dcterms:created>
</cp:coreProperties>
</file>