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392.3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21.12.2013 N 367-ФЗ)</w:t>
      </w:r>
    </w:p>
    <w:p>
      <w:pPr>
        <w:spacing w:after="120"/>
        <w:ind w:firstLine="709"/>
      </w:pPr>
      <w:r>
        <w:rPr>
          <w:sz w:val="24"/>
        </w:rPr>
        <w:t xml:space="preserve">В случае одновременной передачи стороной всех прав и обязанностей по договору другому лицу (передача договора) к сделке по передаче соответственно применяются правила об уступке требования и о переводе долга.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392.3</dc:title>
  <dc:creator>АРБИТРАЖ! · arbi.ru</dc:creator>
  <cp:lastModifiedBy>АРБИТРАЖ!</cp:lastModifiedBy>
  <dcterms:created xsi:type="dcterms:W3CDTF">2026-10-23T00:44:09.334Z</dcterms:created>
</cp:coreProperties>
</file>