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за неисполнение или ненадлежащее исполнение обязательства установлена неустойка, то убытки возмещаются в части, не покрытой неустойкой.</w:t>
      </w:r>
    </w:p>
    <w:p>
      <w:pPr>
        <w:spacing w:after="120"/>
        <w:ind w:firstLine="709"/>
      </w:pPr>
      <w:r>
        <w:rPr>
          <w:sz w:val="24"/>
        </w:rPr>
        <w:t xml:space="preserve">Законом или договором могут быть предусмотрены случаи : когда допускается взыскание только неустойки, но не убытков; когда убытки могут быть взысканы в полной сумме сверх неустойки; когда по выбору кредитора могут быть взысканы либо неустойка, либо убытки.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за неисполнение или ненадлежащее исполнение обязательства установлена ограниченная ответственность (статья 400) , убытки, подлежащие возмещению в части, не покрытой неустойкой, либо сверх ее, либо вместо нее, могут быть взысканы до пределов, установленных таким ограничением.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394</dc:title>
  <dc:creator>АРБИТРАЖ! · arbi.ru</dc:creator>
  <cp:lastModifiedBy>АРБИТРАЖ!</cp:lastModifiedBy>
  <dcterms:created xsi:type="dcterms:W3CDTF">2026-10-22T22:45:58.251Z</dcterms:created>
</cp:coreProperties>
</file>