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398</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25. Ответственность за нарушение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Позиции высших судов по ст. 398 ГК РФ &gt;&gt;&gt;</w:t>
      </w:r>
    </w:p>
    <w:p>
      <w:pPr>
        <w:spacing w:after="120"/>
        <w:ind w:firstLine="709"/>
      </w:pPr>
      <w:r>
        <w:rPr>
          <w:sz w:val="24"/>
        </w:rPr>
        <w:t xml:space="preserve">В случае неисполнения обязательства передать индивидуально-определенную вещь в собственность, в хозяйственное ведение, в оперативное управление или в возмездное пользование кредитору последний вправе требовать отобрания этой вещи у должника и передачи ее кредитору на предусмотренных обязательством условиях. Это право отпадает, если вещь уже передана третьему лицу, имеющему право собственности, хозяйственного ведения или оперативного управления. Если вещь еще не передана, преимущество имеет тот из кредиторов, в пользу которого обязательство возникло раньше, а если это невозможно установить, - тот, кто раньше предъявил иск.</w:t>
      </w:r>
    </w:p>
    <w:p>
      <w:pPr>
        <w:spacing w:after="120"/>
        <w:ind w:firstLine="709"/>
      </w:pPr>
      <w:r>
        <w:rPr>
          <w:sz w:val="24"/>
        </w:rPr>
        <w:t xml:space="preserve">Вместо требования передать ему вещь, являющуюся предметом обязательства, кредитор вправе потребовать возмещения убытков.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398</dc:title>
  <dc:creator>АРБИТРАЖ! · arbi.ru</dc:creator>
  <cp:lastModifiedBy>АРБИТРАЖ!</cp:lastModifiedBy>
  <dcterms:created xsi:type="dcterms:W3CDTF">2026-10-22T16:47:04.172Z</dcterms:created>
</cp:coreProperties>
</file>