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отдельным видам обязательств и по обязательствам, связанным с определенным родом деятельности, законом может быть ограничено право на полное возмещение убытков (ограниченная ответственность).</w:t>
      </w:r>
    </w:p>
    <w:p>
      <w:pPr>
        <w:spacing w:after="120"/>
        <w:ind w:firstLine="709"/>
      </w:pPr>
      <w:r>
        <w:rPr>
          <w:sz w:val="24"/>
        </w:rPr>
        <w:t xml:space="preserve">2. Соглашение об ограничении размера ответственности должника по договору присоединения или иному договору, в котором кредитором является гражданин, выступающий в качестве потребителя, ничтожно, если размер ответственности для данного вида обязательств или за данное нарушение определен законом и если соглашение заключено до наступления обстоятельств, влекущих ответственность за неисполнение или ненадлежащее исполнение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400</dc:title>
  <dc:creator>АРБИТРАЖ! · arbi.ru</dc:creator>
  <cp:lastModifiedBy>АРБИТРАЖ!</cp:lastModifiedBy>
  <dcterms:created xsi:type="dcterms:W3CDTF">2026-10-22T22:03:27.628Z</dcterms:created>
</cp:coreProperties>
</file>