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403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25. Ответственность за нарушение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403 ГК РФ &gt;&gt;&gt;</w:t>
      </w:r>
    </w:p>
    <w:p>
      <w:pPr>
        <w:spacing w:after="120"/>
        <w:ind w:firstLine="709"/>
      </w:pPr>
      <w:r>
        <w:rPr>
          <w:sz w:val="24"/>
        </w:rPr>
        <w:t xml:space="preserve">Должник отвечает за неисполнение или ненадлежащее исполнение обязательства третьими лицами, на которых было возложено исполнение, если законом не установлено, что ответственность несет являющееся непосредственным исполнителем третье лицо.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403</dc:title>
  <dc:creator>АРБИТРАЖ! · arbi.ru</dc:creator>
  <cp:lastModifiedBy>АРБИТРАЖ!</cp:lastModifiedBy>
  <dcterms:created xsi:type="dcterms:W3CDTF">2026-10-22T20:20:26.596Z</dcterms:created>
</cp:coreProperties>
</file>