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405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25. Ответственность за нарушение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405 ГК РФ &gt;&gt;&gt;</w:t>
      </w:r>
    </w:p>
    <w:p>
      <w:pPr>
        <w:spacing w:after="120"/>
        <w:ind w:firstLine="709"/>
      </w:pPr>
      <w:r>
        <w:rPr>
          <w:sz w:val="24"/>
        </w:rPr>
        <w:t xml:space="preserve">1. Должник, просрочивший исполнение, отвечает перед кредитором за убытки, причиненные просрочкой, и за последствия случайно наступившей во время просрочки невозможности исполнения.</w:t>
      </w:r>
    </w:p>
    <w:p>
      <w:pPr>
        <w:spacing w:after="120"/>
        <w:ind w:firstLine="709"/>
      </w:pPr>
      <w:r>
        <w:rPr>
          <w:sz w:val="24"/>
        </w:rPr>
        <w:t xml:space="preserve">2. Если вследствие просрочки должника исполнение утратило интерес для кредитора, он может отказаться от принятия исполнения и требовать возмещения убытков.</w:t>
      </w:r>
    </w:p>
    <w:p>
      <w:pPr>
        <w:spacing w:after="120"/>
        <w:ind w:firstLine="709"/>
      </w:pPr>
      <w:r>
        <w:rPr>
          <w:sz w:val="24"/>
        </w:rPr>
        <w:t xml:space="preserve">3. Должник не считается просрочившим, пока обязательство не может быть исполнено вследствие просрочки кредитора.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405</dc:title>
  <dc:creator>АРБИТРАЖ! · arbi.ru</dc:creator>
  <cp:lastModifiedBy>АРБИТРАЖ!</cp:lastModifiedBy>
  <dcterms:created xsi:type="dcterms:W3CDTF">2026-10-22T20:23:19.433Z</dcterms:created>
</cp:coreProperties>
</file>