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409 ГК РФ &gt;&gt;&gt;</w:t>
      </w:r>
    </w:p>
    <w:p>
      <w:pPr>
        <w:spacing w:after="120"/>
        <w:ind w:firstLine="709"/>
      </w:pPr>
      <w:r>
        <w:rPr>
          <w:sz w:val="24"/>
        </w:rPr>
        <w:t xml:space="preserve">По соглашению сторон обязательство может быть прекращено предоставлением отступного - уплатой денежных средств или передачей иного имущества.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409</dc:title>
  <dc:creator>АРБИТРАЖ! · arbi.ru</dc:creator>
  <cp:lastModifiedBy>АРБИТРАЖ!</cp:lastModifiedBy>
  <dcterms:created xsi:type="dcterms:W3CDTF">2026-10-22T22:36:04.231Z</dcterms:created>
</cp:coreProperties>
</file>