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409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26. Прекращение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08.03.2015 N 42-ФЗ)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Позиции высших судов по ст. 409 ГК РФ &gt;&gt;&gt;</w:t>
      </w:r>
    </w:p>
    <w:p>
      <w:pPr>
        <w:spacing w:after="120"/>
        <w:ind w:firstLine="709"/>
      </w:pPr>
      <w:r>
        <w:rPr>
          <w:sz w:val="24"/>
        </w:rPr>
        <w:t xml:space="preserve">По соглашению сторон обязательство может быть прекращено предоставлением отступного - уплатой денежных средств или передачей иного имущества.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409</dc:title>
  <dc:creator>АРБИТРАЖ! · arbi.ru</dc:creator>
  <cp:lastModifiedBy>АРБИТРАЖ!</cp:lastModifiedBy>
  <dcterms:created xsi:type="dcterms:W3CDTF">2026-10-22T16:46:38.070Z</dcterms:created>
</cp:coreProperties>
</file>