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412 ГК РФ &gt;&gt;&gt;</w:t>
      </w:r>
    </w:p>
    <w:p>
      <w:pPr>
        <w:spacing w:after="120"/>
        <w:ind w:firstLine="709"/>
      </w:pPr>
      <w:r>
        <w:rPr>
          <w:sz w:val="24"/>
        </w:rPr>
        <w:t xml:space="preserve">В случае уступки требования должник вправе зачесть против требования нового кредитора свое встречное требование к первоначальному кредитору.</w:t>
      </w:r>
    </w:p>
    <w:p>
      <w:pPr>
        <w:spacing w:after="120"/>
        <w:ind w:firstLine="709"/>
      </w:pPr>
      <w:r>
        <w:rPr>
          <w:sz w:val="24"/>
        </w:rPr>
        <w:t xml:space="preserve">Зачет производится, если требование возникло по основанию, существовавшему к моменту получения должником уведомления об уступке требования, и срок требования наступил до его получения либо этот срок не указан или определен моментом востребования.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412</dc:title>
  <dc:creator>АРБИТРАЖ! · arbi.ru</dc:creator>
  <cp:lastModifiedBy>АРБИТРАЖ!</cp:lastModifiedBy>
  <dcterms:created xsi:type="dcterms:W3CDTF">2026-10-22T22:33:31.638Z</dcterms:created>
</cp:coreProperties>
</file>