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Прекращение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413 ГК РФ &gt;&gt;&gt;</w:t>
      </w:r>
    </w:p>
    <w:p>
      <w:pPr>
        <w:spacing w:after="120"/>
        <w:ind w:firstLine="709"/>
      </w:pPr>
      <w:r>
        <w:rPr>
          <w:sz w:val="24"/>
        </w:rPr>
        <w:t xml:space="preserve">Обязательство прекращается совпадением должника и кредитора в одном лице, если иное не установлено законом или не вытекает из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413</dc:title>
  <dc:creator>АРБИТРАЖ! · arbi.ru</dc:creator>
  <cp:lastModifiedBy>АРБИТРАЖ!</cp:lastModifiedBy>
  <dcterms:created xsi:type="dcterms:W3CDTF">2026-10-22T20:20:15.053Z</dcterms:created>
</cp:coreProperties>
</file>