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414 ГК РФ &gt;&gt;&gt;</w:t>
      </w:r>
    </w:p>
    <w:p>
      <w:pPr>
        <w:spacing w:after="120"/>
        <w:ind w:firstLine="709"/>
      </w:pPr>
      <w:r>
        <w:rPr>
          <w:sz w:val="24"/>
        </w:rPr>
        <w:t xml:space="preserve">1. Обязательство прекращается соглашением сторон о замене первоначального обязательства, существовавшего между ними, другим обязательством между теми же лицами ( новация ), если иное не установлено законом или не вытекает из существа отношений.</w:t>
      </w:r>
    </w:p>
    <w:p>
      <w:pPr>
        <w:spacing w:after="120"/>
        <w:ind w:firstLine="709"/>
      </w:pPr>
      <w:r>
        <w:rPr>
          <w:sz w:val="24"/>
        </w:rPr>
        <w:t xml:space="preserve">2. Новация прекращает дополнительные обязательства, связанные с первоначальным обязательством, если иное не предусмотрено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414</dc:title>
  <dc:creator>АРБИТРАЖ! · arbi.ru</dc:creator>
  <cp:lastModifiedBy>АРБИТРАЖ!</cp:lastModifiedBy>
  <dcterms:created xsi:type="dcterms:W3CDTF">2026-10-22T20:16:26.444Z</dcterms:created>
</cp:coreProperties>
</file>