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Прекращение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415 ГК РФ &gt;&gt;&gt;</w:t>
      </w:r>
    </w:p>
    <w:p>
      <w:pPr>
        <w:spacing w:after="120"/>
        <w:ind w:firstLine="709"/>
      </w:pPr>
      <w:r>
        <w:rPr>
          <w:sz w:val="24"/>
        </w:rPr>
        <w:t xml:space="preserve">1 . Обязательство прекращается освобождением кредитором должника от лежащих на нем обязанностей, если это не нарушает прав других лиц в отношении имущества кредитора.</w:t>
      </w:r>
    </w:p>
    <w:p>
      <w:pPr>
        <w:spacing w:after="120"/>
        <w:ind w:firstLine="709"/>
      </w:pPr>
      <w:r>
        <w:rPr>
          <w:sz w:val="24"/>
        </w:rPr>
        <w:t xml:space="preserve">2. Обязательство считается прекращенным с момента получения должником уведомления кредитора о прощении долга, если должник в разумный срок не направит кредитору возражений против прощения долга.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415</dc:title>
  <dc:creator>АРБИТРАЖ! · arbi.ru</dc:creator>
  <cp:lastModifiedBy>АРБИТРАЖ!</cp:lastModifiedBy>
  <dcterms:created xsi:type="dcterms:W3CDTF">2026-10-22T20:18:08.338Z</dcterms:created>
</cp:coreProperties>
</file>