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416 ГК РФ &gt;&gt;&gt;</w:t>
      </w:r>
    </w:p>
    <w:p>
      <w:pPr>
        <w:spacing w:after="120"/>
        <w:ind w:firstLine="709"/>
      </w:pPr>
      <w:r>
        <w:rPr>
          <w:sz w:val="24"/>
        </w:rPr>
        <w:t xml:space="preserve">1. Обязательство прекращается невозможностью исполнения, если она вызвана наступившим после возникновения обязательства обстоятельством, за которое ни одна из сторон не отвечает.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невозможности исполнения должником обязательства, вызванной виновными действиями кредитора, последний не вправе требовать возвращения исполненного им по обязательству.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416</dc:title>
  <dc:creator>АРБИТРАЖ! · arbi.ru</dc:creator>
  <cp:lastModifiedBy>АРБИТРАЖ!</cp:lastModifiedBy>
  <dcterms:created xsi:type="dcterms:W3CDTF">2026-10-22T18:23:04.775Z</dcterms:created>
</cp:coreProperties>
</file>