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должен соответствовать обязательным для сторон правилам, установленным законом и иными правовыми актами ( императивным нормам ), действующим в момент его заключения.</w:t>
      </w:r>
    </w:p>
    <w:p>
      <w:pPr>
        <w:spacing w:after="120"/>
        <w:ind w:firstLine="709"/>
      </w:pPr>
      <w:r>
        <w:rPr>
          <w:sz w:val="24"/>
        </w:rPr>
        <w:t xml:space="preserve">2. Если после заключения договора принят закон, устанавливающий обязательные для сторон правила иные, чем те, которые действовали при заключении договора, условия заключенного договора сохраняют силу, кроме случаев, когда в законе установлено, что его действие распространяется на отношения, возникшие из ранее заключенных договоров.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422</dc:title>
  <dc:creator>АРБИТРАЖ! · arbi.ru</dc:creator>
  <cp:lastModifiedBy>АРБИТРАЖ!</cp:lastModifiedBy>
  <dcterms:created xsi:type="dcterms:W3CDTF">2026-10-22T15:50:11.331Z</dcterms:created>
</cp:coreProperties>
</file>