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Рамочным договором (договором с открытыми условиями) признается договор, определяющий общие условия обязательственных взаимоотношений сторон, которые могут быть конкретизированы и уточнены сторонами путем заключения отдельных договоров, подачи заявок одной из сторон или иным образом на основании либо во исполнение рамочного договора.</w:t>
      </w:r>
    </w:p>
    <w:p>
      <w:pPr>
        <w:spacing w:after="120"/>
        <w:ind w:firstLine="709"/>
      </w:pPr>
      <w:r>
        <w:rPr>
          <w:sz w:val="24"/>
        </w:rPr>
        <w:t xml:space="preserve">2. К отношениям сторон, не урегулированным отдельными договорами, в том числе в случае незаключения сторонами отдельных договоров, подлежат применению общие условия, содержащиеся в рамочном договоре, если иное не указано в отдельных договорах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429.1</dc:title>
  <dc:creator>АРБИТРАЖ! · arbi.ru</dc:creator>
  <cp:lastModifiedBy>АРБИТРАЖ!</cp:lastModifiedBy>
  <dcterms:created xsi:type="dcterms:W3CDTF">2026-10-22T20:19:08.912Z</dcterms:created>
</cp:coreProperties>
</file>