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толковании условий договора судом принимается во внимание буквальное значение содержащихся в нем слов и выражений. Буквальное значение условия договора в случае его неясности устанавливается путем сопоставления с другими условиями и смыслом договора в целом.</w:t>
      </w:r>
    </w:p>
    <w:p>
      <w:pPr>
        <w:spacing w:after="120"/>
        <w:ind w:firstLine="709"/>
      </w:pPr>
      <w:r>
        <w:rPr>
          <w:sz w:val="24"/>
        </w:rPr>
        <w:t xml:space="preserve">Если правила, содержащиеся в части первой настоящей статьи, не позволяют определить содержание договора, должна быть выяснена действительная общая воля сторон с учетом цели договора. При этом принимаются во внимание все соответствующие обстоятельства, включая предшествующие договору переговоры и переписку, практику, установившуюся во взаимных отношениях сторон, обычаи , последующее поведение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431</dc:title>
  <dc:creator>АРБИТРАЖ! · arbi.ru</dc:creator>
  <cp:lastModifiedBy>АРБИТРАЖ!</cp:lastModifiedBy>
  <dcterms:created xsi:type="dcterms:W3CDTF">2026-10-22T22:34:34.733Z</dcterms:created>
</cp:coreProperties>
</file>