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Положения настоящего Кодекса о недействительности сделок (параграф 2 главы 9) применяются к договорам, если иное не установлено правилами об отдельных видах договоров 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Сторона, которая приняла от контрагента исполнение по договору, связанному с осуществлением его сторонами предпринимательской деятельности, и при этом полностью или частично не исполнила свое обязательство, не вправе требовать признания договора недействительным, за исключением случаев признания договора недействительным по основаниям, предусмотренным статьями 173 , 178 и 179 настоящего Кодекса, а также если предоставленное другой стороной исполнение связано с заведомо недобросовестными действиями этой стороны.</w:t>
      </w:r>
    </w:p>
    <w:p>
      <w:pPr>
        <w:spacing w:after="120"/>
        <w:ind w:firstLine="709"/>
      </w:pPr>
      <w:r>
        <w:rPr>
          <w:sz w:val="24"/>
        </w:rPr>
        <w:t xml:space="preserve">3. В случае признания недействительным по требованию одной из сторон договора, который является оспоримой сделкой и исполнение которого связано с осуществлением его сторонами предпринимательской деятельности, общие последствия недействительности сделки (статья 167) применяются, если иные последствия недействительности договора не предусмотрены соглашением сторон, заключенным после признания договора недействительным и не затрагивающим интересов третьих лиц, а также не нарушающим публичных интересов.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431.1</dc:title>
  <dc:creator>АРБИТРАЖ! · arbi.ru</dc:creator>
  <cp:lastModifiedBy>АРБИТРАЖ!</cp:lastModifiedBy>
  <dcterms:created xsi:type="dcterms:W3CDTF">2026-10-23T00:44:24.436Z</dcterms:created>
</cp:coreProperties>
</file>