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433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28. Заключение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433 ГК РФ &gt;&gt;&gt;</w:t>
      </w:r>
    </w:p>
    <w:p>
      <w:pPr>
        <w:spacing w:after="120"/>
        <w:ind w:firstLine="709"/>
      </w:pPr>
      <w:r>
        <w:rPr>
          <w:sz w:val="24"/>
        </w:rPr>
        <w:t xml:space="preserve">1. Договор признается заключенным в момент получения лицом, направившим оферту, ее акцепта.</w:t>
      </w:r>
    </w:p>
    <w:p>
      <w:pPr>
        <w:spacing w:after="120"/>
        <w:ind w:firstLine="709"/>
      </w:pPr>
      <w:r>
        <w:rPr>
          <w:sz w:val="24"/>
        </w:rPr>
        <w:t xml:space="preserve">2. Если в соответствии с законом для заключения договора необходима также передача имущества, договор считается заключенным с момента передачи соответствующего имущества (статья 224) .</w:t>
      </w:r>
    </w:p>
    <w:p>
      <w:pPr>
        <w:spacing w:after="120"/>
        <w:ind w:firstLine="709"/>
      </w:pPr>
      <w:r>
        <w:rPr>
          <w:sz w:val="24"/>
        </w:rPr>
        <w:t xml:space="preserve">3. Договор, подлежащий государственной регистрации, считается для третьих лиц заключенным с момента его регистрации, если иное не установлено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433</dc:title>
  <dc:creator>АРБИТРАЖ! · arbi.ru</dc:creator>
  <cp:lastModifiedBy>АРБИТРАЖ!</cp:lastModifiedBy>
  <dcterms:created xsi:type="dcterms:W3CDTF">2026-10-22T23:38:50.562Z</dcterms:created>
</cp:coreProperties>
</file>