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434 ГК РФ &gt;&gt;&gt;</w:t>
      </w:r>
    </w:p>
    <w:p>
      <w:pPr>
        <w:spacing w:after="120"/>
        <w:ind w:firstLine="709"/>
      </w:pPr>
      <w:r>
        <w:rPr>
          <w:sz w:val="24"/>
        </w:rPr>
        <w:t xml:space="preserve">1. Договор может быть заключен в любой форме , предусмотренной для совершения сделок, если законом для договоров данного вида не установлена определенная форма.</w:t>
      </w:r>
    </w:p>
    <w:p>
      <w:pPr>
        <w:spacing w:after="120"/>
        <w:ind w:firstLine="709"/>
      </w:pPr>
      <w:r>
        <w:rPr>
          <w:sz w:val="24"/>
        </w:rPr>
        <w:t xml:space="preserve">Если стороны договорились заключить договор в определенной форме, он считается заключенным после придания ему условленной формы, хотя бы законом для договоров данного вида такая форма не требовалась.</w:t>
      </w:r>
    </w:p>
    <w:p>
      <w:pPr>
        <w:spacing w:after="120"/>
        <w:ind w:firstLine="709"/>
      </w:pPr>
      <w:r>
        <w:rPr>
          <w:sz w:val="24"/>
        </w:rPr>
        <w:t xml:space="preserve">2. Договор в письменной форме может быть заключен путем составления одного документа (в том числе электронного), подписанного сторонами, или обмена письмами, телеграммами, электронными документами либо иными данными в соответствии с правилами абзаца второго пункта 1 статьи 160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18.03.2019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Письменная форма договора считается соблюденной, если письменное предложение заключить договор принято в порядке, предусмотренном пунктом 3 статьи 438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законом или соглашением сторон, договор в письменной форме может быть заключен только путем составления одного документа, подписанного сторонами договора.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434</dc:title>
  <dc:creator>АРБИТРАЖ! · arbi.ru</dc:creator>
  <cp:lastModifiedBy>АРБИТРАЖ!</cp:lastModifiedBy>
  <dcterms:created xsi:type="dcterms:W3CDTF">2026-10-23T01:34:57.963Z</dcterms:created>
</cp:coreProperties>
</file>