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Реклама и иные предложения, адресованные неопределенному кругу лиц, рассматриваются как приглашение делать оферты, если иное прямо не указано в предложении.</w:t>
      </w:r>
    </w:p>
    <w:p>
      <w:pPr>
        <w:spacing w:after="120"/>
        <w:ind w:firstLine="709"/>
      </w:pPr>
      <w:r>
        <w:rPr>
          <w:sz w:val="24"/>
        </w:rPr>
        <w:t xml:space="preserve">2. Содержащее все существенные условия договора предложение, из которого усматривается воля лица, делающего предложение, заключить договор на указанных в предложении условиях с любым, кто отзовется, признается офертой (публичная оферта).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437</dc:title>
  <dc:creator>АРБИТРАЖ! · arbi.ru</dc:creator>
  <cp:lastModifiedBy>АРБИТРАЖ!</cp:lastModifiedBy>
  <dcterms:created xsi:type="dcterms:W3CDTF">2026-10-22T23:39:13.697Z</dcterms:created>
</cp:coreProperties>
</file>