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438 см. Постановление КС РФ от 23.12.2022 N 57-П.</w:t>
      </w:r>
    </w:p>
    <w:p>
      <w:pPr>
        <w:spacing w:after="120"/>
        <w:ind w:firstLine="709"/>
      </w:pPr>
      <w:r>
        <w:rPr>
          <w:sz w:val="24"/>
        </w:rPr>
        <w:t xml:space="preserve">1. Акцептом признается ответ лица, которому адресована оферта, о ее принятии.</w:t>
      </w:r>
    </w:p>
    <w:p>
      <w:pPr>
        <w:spacing w:after="120"/>
        <w:ind w:firstLine="709"/>
      </w:pPr>
      <w:r>
        <w:rPr>
          <w:sz w:val="24"/>
        </w:rPr>
        <w:t xml:space="preserve">Акцепт должен быть полным и безоговорочным.</w:t>
      </w:r>
    </w:p>
    <w:p>
      <w:pPr>
        <w:spacing w:after="120"/>
        <w:ind w:firstLine="709"/>
      </w:pPr>
      <w:r>
        <w:rPr>
          <w:sz w:val="24"/>
        </w:rPr>
        <w:t xml:space="preserve">2. Молчание не является акцептом, если иное не вытекает из закона , соглашения сторон, обычая или из прежних деловых отношений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438 см. Постановление КС РФ от 02.07.2024 N 34-П.</w:t>
      </w:r>
    </w:p>
    <w:p>
      <w:pPr>
        <w:spacing w:after="120"/>
        <w:ind w:firstLine="709"/>
      </w:pPr>
      <w:r>
        <w:rPr>
          <w:sz w:val="24"/>
        </w:rPr>
        <w:t xml:space="preserve">3. Совершение лицом, получившим оферту, в срок, установленный для ее акцепта, действий по выполнению указанных в ней условий договора (отгрузка товаров, предоставление услуг, выполнение работ, уплата соответствующей суммы и т.п.) считается акцептом, если иное не предусмотрено законом, иными правовыми актами или не указано в оферте.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438</dc:title>
  <dc:creator>АРБИТРАЖ! · arbi.ru</dc:creator>
  <cp:lastModifiedBy>АРБИТРАЖ!</cp:lastModifiedBy>
  <dcterms:created xsi:type="dcterms:W3CDTF">2026-10-22T18:35:37.121Z</dcterms:created>
</cp:coreProperties>
</file>