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В случаях передачи разногласий, возникших при заключении договора, на рассмотрение суда на основании статьи 445 настоящего Кодекса либо по соглашению сторон условия договора, по которым у сторон имелись разногласия, определяются в соответствии с решением суда.</w:t>
      </w:r>
    </w:p>
    <w:p>
      <w:pPr>
        <w:spacing w:after="120"/>
        <w:ind w:firstLine="709"/>
      </w:pPr>
      <w:r>
        <w:rPr>
          <w:sz w:val="24"/>
        </w:rPr>
        <w:t xml:space="preserve">2. Разногласия, которые возникли при заключении договора и не были переданы на рассмотрение суда в течение шести месяцев с момента их возникновения, не подлежат урегулированию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446</dc:title>
  <dc:creator>АРБИТРАЖ! · arbi.ru</dc:creator>
  <cp:lastModifiedBy>АРБИТРАЖ!</cp:lastModifiedBy>
  <dcterms:created xsi:type="dcterms:W3CDTF">2026-10-22T20:19:19.891Z</dcterms:created>
</cp:coreProperties>
</file>