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29. Изменение и расторжение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452 ГК РФ &gt;&gt;&gt;</w:t>
      </w:r>
    </w:p>
    <w:p>
      <w:pPr>
        <w:spacing w:after="120"/>
        <w:ind w:firstLine="709"/>
      </w:pPr>
      <w:r>
        <w:rPr>
          <w:sz w:val="24"/>
        </w:rPr>
        <w:t xml:space="preserve">1. Соглашение об изменении или о расторжении договора совершается в той же форме, что и договор, если из закона , иных правовых актов, договора или обычаев не вытекает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452</dc:title>
  <dc:creator>АРБИТРАЖ! · arbi.ru</dc:creator>
  <cp:lastModifiedBy>АРБИТРАЖ!</cp:lastModifiedBy>
  <dcterms:created xsi:type="dcterms:W3CDTF">2026-10-22T23:30:34.127Z</dcterms:created>
</cp:coreProperties>
</file>