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Гражданское судопроизводство ведется на русском языке - государственном языке Российской Федерации или на государственном языке республики, которая входит в состав Российской Федерации и на территории которой находится соответствующий суд. В военных судах гражданское судопроизводство ведется на русском языке.</w:t>
      </w:r>
    </w:p>
    <w:p>
      <w:pPr>
        <w:spacing w:after="120"/>
        <w:ind w:firstLine="709"/>
      </w:pPr>
      <w:r>
        <w:rPr>
          <w:sz w:val="24"/>
        </w:rPr>
        <w:t xml:space="preserve">2. Лицам, участвующим в деле и не владеющим языком, на котором ведется гражданское судопроизводство, разъясняется и обеспечивается право давать объяснения, заключения, выступать, заявлять ходатайства, подавать жалобы на родном языке или на любом свободно избранном языке общения, а также пользоваться услугами переводчика.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</dc:title>
  <dc:creator>АРБИТРАЖ! · arbi.ru</dc:creator>
  <cp:lastModifiedBy>АРБИТРАЖ!</cp:lastModifiedBy>
  <dcterms:created xsi:type="dcterms:W3CDTF">2026-10-22T20:15:03.374Z</dcterms:created>
</cp:coreProperties>
</file>