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1. Основные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Правосудие по гражданским делам осуществляется на основе состязательности и равноправия сторон.</w:t>
      </w:r>
    </w:p>
    <w:p>
      <w:pPr>
        <w:spacing w:after="120"/>
        <w:ind w:firstLine="709"/>
      </w:pPr>
      <w:r>
        <w:rPr>
          <w:sz w:val="24"/>
        </w:rPr>
        <w:t xml:space="preserve">2. Суд, сохраняя независимость, объективность и беспристрастность, осуществляет руководство процессом, разъясняет лицам, участвующим в деле, их права и обязанности, предупреждает о последствиях совершения или несовершения процессуальных действий, оказывает лицам, участвующим в деле, содействие в реализации их прав, создает условия для всестороннего и полного исследования доказательств, установления фактических обстоятельств и правильного применения законодательства при рассмотрении и разрешении гражданских дел.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12</dc:title>
  <dc:creator>АРБИТРАЖ! · arbi.ru</dc:creator>
  <cp:lastModifiedBy>АРБИТРАЖ!</cp:lastModifiedBy>
  <dcterms:created xsi:type="dcterms:W3CDTF">2026-10-22T12:19:12.467Z</dcterms:created>
</cp:coreProperties>
</file>