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Гражданские дела, подсудные судам общей юрисдикции, за исключением дел, предусмотренных статьями 23 , 25 , 26 и 27 настоящего Кодекса, рассматриваются районным судом в качестве суда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</dc:title>
  <dc:creator>АРБИТРАЖ! · arbi.ru</dc:creator>
  <cp:lastModifiedBy>АРБИТРАЖ!</cp:lastModifiedBy>
  <dcterms:created xsi:type="dcterms:W3CDTF">2026-10-22T20:08:07.689Z</dcterms:created>
</cp:coreProperties>
</file>