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14.07.2008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Иски кредиторов наследодателя, предъявляемые до принятия наследства наследниками, подсудны суду по месту открытия наследства.</w:t>
      </w:r>
    </w:p>
    <w:p>
      <w:pPr>
        <w:spacing w:after="120"/>
        <w:ind w:firstLine="709"/>
      </w:pPr>
      <w:r>
        <w:rPr>
          <w:sz w:val="24"/>
        </w:rPr>
        <w:t xml:space="preserve">3. Иски к перевозчикам, вытекающие из договоров перевозки, предъявляются в суд по адресу перевозчика, к которому в установленном порядке была предъявлена претензия.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Иски о защите прав и законных интересов группы лиц, в том числе прав потребителей, подаются по адресу ответчика.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30</dc:title>
  <dc:creator>АРБИТРАЖ! · arbi.ru</dc:creator>
  <cp:lastModifiedBy>АРБИТРАЖ!</cp:lastModifiedBy>
  <dcterms:created xsi:type="dcterms:W3CDTF">2026-10-22T23:29:15.830Z</dcterms:created>
</cp:coreProperties>
</file>