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 к нескольким ответчикам, проживающим или находящимся в разных местах, предъявляется в суд по месту жительства или адресу одного из ответчиков по выбору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Встречный иск предъявляется в суд по месту рассмотрения первоначального иска.</w:t>
      </w:r>
    </w:p>
    <w:p>
      <w:pPr>
        <w:spacing w:after="120"/>
        <w:ind w:firstLine="709"/>
      </w:pPr>
      <w:r>
        <w:rPr>
          <w:sz w:val="24"/>
        </w:rPr>
        <w:t xml:space="preserve">3. Гражданский иск, вытекающий из уголовного дела, если он не был предъявлен или не был разрешен при производстве уголовного дела, предъявляется для рассмотрения в порядке гражданского судопроизводства по правилам подсудности, установленным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</dc:title>
  <dc:creator>АРБИТРАЖ! · arbi.ru</dc:creator>
  <cp:lastModifiedBy>АРБИТРАЖ!</cp:lastModifiedBy>
  <dcterms:created xsi:type="dcterms:W3CDTF">2026-10-22T23:29:16.840Z</dcterms:created>
</cp:coreProperties>
</file>