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Сторонами в гражданском судопроизводстве являются истец и ответчик.</w:t>
      </w:r>
    </w:p>
    <w:p>
      <w:pPr>
        <w:spacing w:after="120"/>
        <w:ind w:firstLine="709"/>
      </w:pPr>
      <w:r>
        <w:rPr>
          <w:sz w:val="24"/>
        </w:rPr>
        <w:t xml:space="preserve">2. Лицо, в интересах которого дело начато по заявлению лиц, обращающихся в суд за защитой прав, свобод и законных интересов других лиц, извещается судом о возникшем процессе и участвует в нем в качестве истца.</w:t>
      </w:r>
    </w:p>
    <w:p>
      <w:pPr>
        <w:spacing w:after="120"/>
        <w:ind w:firstLine="709"/>
      </w:pPr>
      <w:r>
        <w:rPr>
          <w:sz w:val="24"/>
        </w:rPr>
        <w:t xml:space="preserve">3. Стороны пользуются равными процессуальными правами и несут равные процессуальные обязанности.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38</dc:title>
  <dc:creator>АРБИТРАЖ! · arbi.ru</dc:creator>
  <cp:lastModifiedBy>АРБИТРАЖ!</cp:lastModifiedBy>
  <dcterms:created xsi:type="dcterms:W3CDTF">2026-10-22T20:18:40.250Z</dcterms:created>
</cp:coreProperties>
</file>