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</w:t>
      </w:r>
    </w:p>
    <w:p>
      <w:pPr>
        <w:spacing w:after="120"/>
        <w:ind w:firstLine="709"/>
      </w:pPr>
      <w:r>
        <w:rPr>
          <w:sz w:val="24"/>
        </w:rPr>
        <w:t xml:space="preserve">1. Истец вправе изменить основание или предмет иска, увеличить или уменьшить размер исковых требований либо отказаться от иска, ответчик вправе признать иск, стороны могут окончить дело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2. Суд не принимает отказ истца от иска, признание иска ответчиком и не утверждает мировое соглашение сторон, если это противоречит закону или нарушает права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3. При изменении основания или предмета иска, увеличении размера исковых требований течение срока рассмотрения дела, предусмотренного настоящим Кодексом , начинается со дня совершения соответствующего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</dc:title>
  <dc:creator>АРБИТРАЖ! · arbi.ru</dc:creator>
  <cp:lastModifiedBy>АРБИТРАЖ!</cp:lastModifiedBy>
  <dcterms:created xsi:type="dcterms:W3CDTF">2026-10-22T20:18:30.511Z</dcterms:created>
</cp:coreProperties>
</file>