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44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(взыскатель) хочет произвести процессуальную замену взыскателя</w:t>
      </w:r>
    </w:p>
    <w:p>
      <w:pPr>
        <w:spacing w:after="120"/>
        <w:ind w:firstLine="709"/>
      </w:pPr>
      <w:r>
        <w:rPr>
          <w:sz w:val="24"/>
        </w:rPr>
        <w:t xml:space="preserve">- Взыскатель (пристав) просит произвести процессуальную замену должника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произвести процессуальную замену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44 см. Постановление КС РФ от 16.11.2018 N 43-П.</w:t>
      </w:r>
    </w:p>
    <w:p>
      <w:pPr>
        <w:spacing w:after="120"/>
        <w:ind w:firstLine="709"/>
      </w:pPr>
      <w:r>
        <w:rPr>
          <w:sz w:val="24"/>
        </w:rPr>
        <w:t xml:space="preserve">1. В случаях выбытия одной из сторон в спорном или установленном решением суда правоотношении (смерть гражданина, реорганизация юридического лица, уступка требования, перевод долга и другие случаи перемены лиц в обязательствах) суд допускает замену этой стороны ее правопреемником. Правопреемство возможно на любой стадии гражданского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2. Все действия, совершенные до вступления правопреемника в процесс, обязательны для него в той мере, в какой они были бы обязательны для лица, которое правопреемник заменил.</w:t>
      </w:r>
    </w:p>
    <w:p>
      <w:pPr>
        <w:spacing w:after="120"/>
        <w:ind w:firstLine="709"/>
      </w:pPr>
      <w:r>
        <w:rPr>
          <w:sz w:val="24"/>
        </w:rPr>
        <w:t xml:space="preserve">3. На определение суда о замене или об отказе в замене правопреемника может быть подана частная жалоба.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44</dc:title>
  <dc:creator>АРБИТРАЖ! · arbi.ru</dc:creator>
  <cp:lastModifiedBy>АРБИТРАЖ!</cp:lastModifiedBy>
  <dcterms:created xsi:type="dcterms:W3CDTF">2026-10-23T00:20:42.709Z</dcterms:created>
</cp:coreProperties>
</file>