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5. Представительство в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Граждане вправе вести свои дела в суде лично или через представителей. Личное участие в деле гражданина не лишает его права иметь по этому делу представителя.</w:t>
      </w:r>
    </w:p>
    <w:p>
      <w:pPr>
        <w:spacing w:after="120"/>
        <w:ind w:firstLine="709"/>
      </w:pPr>
      <w:r>
        <w:rPr>
          <w:sz w:val="24"/>
        </w:rPr>
        <w:t xml:space="preserve">2. Дела организаций ведут в суде их органы, действующие в пределах полномочий, предоставленных им федеральным законом , иными правовыми актами или учредительными документами, либо представители.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28.11.2018 N 451-ФЗ.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 имени ликвидируемой организации в суде выступает уполномоченный представитель ликвидационной комиссии.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48</dc:title>
  <dc:creator>АРБИТРАЖ! · arbi.ru</dc:creator>
  <cp:lastModifiedBy>АРБИТРАЖ!</cp:lastModifiedBy>
  <dcterms:created xsi:type="dcterms:W3CDTF">2026-10-23T01:17:04.927Z</dcterms:created>
</cp:coreProperties>
</file>